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6" w:rsidRDefault="00601D27" w:rsidP="001E61A3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  <w:r w:rsidRPr="00CE07A6">
        <w:rPr>
          <w:rFonts w:ascii="Cambria Math" w:hAnsi="Cambria Math"/>
          <w:b/>
          <w:color w:val="000000" w:themeColor="text1"/>
          <w:sz w:val="24"/>
          <w:szCs w:val="24"/>
        </w:rPr>
        <w:t xml:space="preserve">ICPR Workshop on “Buddhist Text – </w:t>
      </w:r>
      <w:proofErr w:type="spellStart"/>
      <w:r w:rsidRPr="001E61A3">
        <w:rPr>
          <w:rFonts w:ascii="Cambria Math" w:hAnsi="Cambria Math"/>
          <w:b/>
          <w:i/>
          <w:color w:val="000000" w:themeColor="text1"/>
          <w:sz w:val="24"/>
          <w:szCs w:val="24"/>
        </w:rPr>
        <w:t>Vigraha</w:t>
      </w:r>
      <w:proofErr w:type="spellEnd"/>
      <w:r w:rsidRPr="001E61A3">
        <w:rPr>
          <w:rFonts w:ascii="Cambria Math" w:hAnsi="Cambria Math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E61A3">
        <w:rPr>
          <w:rFonts w:ascii="Cambria Math" w:hAnsi="Cambria Math"/>
          <w:b/>
          <w:i/>
          <w:color w:val="000000" w:themeColor="text1"/>
          <w:sz w:val="24"/>
          <w:szCs w:val="24"/>
        </w:rPr>
        <w:t>Vyavartani</w:t>
      </w:r>
      <w:proofErr w:type="spellEnd"/>
      <w:r w:rsidRPr="00CE07A6">
        <w:rPr>
          <w:rFonts w:ascii="Cambria Math" w:hAnsi="Cambria Math"/>
          <w:b/>
          <w:color w:val="000000" w:themeColor="text1"/>
          <w:sz w:val="24"/>
          <w:szCs w:val="24"/>
        </w:rPr>
        <w:t>”</w:t>
      </w:r>
    </w:p>
    <w:p w:rsidR="00444D65" w:rsidRDefault="00CE07A6" w:rsidP="001E61A3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  <w:r>
        <w:rPr>
          <w:rFonts w:ascii="Cambria Math" w:hAnsi="Cambria Math"/>
          <w:b/>
          <w:color w:val="000000" w:themeColor="text1"/>
          <w:sz w:val="24"/>
          <w:szCs w:val="24"/>
        </w:rPr>
        <w:t>(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>8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  <w:vertAlign w:val="superscript"/>
        </w:rPr>
        <w:t>th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 to 15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  <w:vertAlign w:val="superscript"/>
        </w:rPr>
        <w:t>th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 October 2018</w:t>
      </w:r>
      <w:r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; Department of Philosophy, NEHU, </w:t>
      </w:r>
      <w:proofErr w:type="spellStart"/>
      <w:r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>Shillong</w:t>
      </w:r>
      <w:proofErr w:type="spellEnd"/>
      <w:r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>)</w:t>
      </w:r>
    </w:p>
    <w:p w:rsidR="00CE07A6" w:rsidRPr="00CE07A6" w:rsidRDefault="00CE07A6" w:rsidP="001E61A3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601D27" w:rsidRDefault="00601D27" w:rsidP="001E61A3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  <w:r w:rsidRPr="001E61A3">
        <w:rPr>
          <w:rFonts w:ascii="Cambria Math" w:hAnsi="Cambria Math"/>
          <w:b/>
          <w:color w:val="000000" w:themeColor="text1"/>
          <w:sz w:val="24"/>
          <w:szCs w:val="24"/>
        </w:rPr>
        <w:t>Invitation for Participation</w:t>
      </w:r>
    </w:p>
    <w:p w:rsidR="00FD206B" w:rsidRPr="001E61A3" w:rsidRDefault="00FD206B" w:rsidP="001E61A3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601D27" w:rsidRPr="00B45711" w:rsidRDefault="00601D27">
      <w:pPr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</w:pP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The Department of Philosophy, NEHU, </w:t>
      </w:r>
      <w:proofErr w:type="spellStart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Shillong</w:t>
      </w:r>
      <w:proofErr w:type="spellEnd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, will organize a seven days ICPR Workshop on “Buddhist Text - </w:t>
      </w:r>
      <w:proofErr w:type="spellStart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Vigrahavyavartini</w:t>
      </w:r>
      <w:proofErr w:type="spellEnd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 from 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>8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  <w:vertAlign w:val="superscript"/>
        </w:rPr>
        <w:t>th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 to 15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  <w:vertAlign w:val="superscript"/>
        </w:rPr>
        <w:t>th</w:t>
      </w:r>
      <w:r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 October 2018</w:t>
      </w: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. The Department invites participation from interested scholars. Application </w:t>
      </w:r>
      <w:proofErr w:type="spellStart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proforma</w:t>
      </w:r>
      <w:proofErr w:type="spellEnd"/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 can be downloaded from the link</w:t>
      </w:r>
      <w:r w:rsidR="00FD206B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 given below</w:t>
      </w: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, which is to be duly filled and sent to the following email address</w:t>
      </w:r>
      <w:r w:rsidR="0059084C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:</w:t>
      </w: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 </w:t>
      </w:r>
      <w:hyperlink r:id="rId5" w:history="1">
        <w:r w:rsidR="006F5A05" w:rsidRPr="00B45711">
          <w:rPr>
            <w:rStyle w:val="Hyperlink"/>
            <w:rFonts w:ascii="Cambria Math" w:hAnsi="Cambria Math" w:cs="Arial"/>
            <w:color w:val="000000" w:themeColor="text1"/>
            <w:sz w:val="24"/>
            <w:szCs w:val="24"/>
            <w:shd w:val="clear" w:color="auto" w:fill="FEFEFE"/>
          </w:rPr>
          <w:t>ausharma17@gmail.com</w:t>
        </w:r>
      </w:hyperlink>
      <w:r w:rsidR="00CA1280"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. Last date for application is </w:t>
      </w:r>
      <w:r w:rsidR="00CA1280"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>17</w:t>
      </w:r>
      <w:r w:rsidR="00CA1280"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  <w:vertAlign w:val="superscript"/>
        </w:rPr>
        <w:t>th</w:t>
      </w:r>
      <w:r w:rsidR="00CA1280" w:rsidRPr="00CE07A6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EFEFE"/>
        </w:rPr>
        <w:t xml:space="preserve"> of September, 2018</w:t>
      </w:r>
      <w:r w:rsidR="00CA1280"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. </w:t>
      </w:r>
      <w:proofErr w:type="gramStart"/>
      <w:r w:rsidR="00CA1280"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Kindly note that seats are limited.</w:t>
      </w:r>
      <w:proofErr w:type="gramEnd"/>
    </w:p>
    <w:p w:rsidR="00CA1280" w:rsidRPr="00B45711" w:rsidRDefault="00CA1280">
      <w:pPr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</w:pPr>
    </w:p>
    <w:p w:rsidR="00337D49" w:rsidRPr="00B45711" w:rsidRDefault="00CA1280" w:rsidP="00337D49">
      <w:pPr>
        <w:rPr>
          <w:rFonts w:ascii="Cambria Math" w:hAnsi="Cambria Math"/>
          <w:b/>
          <w:color w:val="000000" w:themeColor="text1"/>
          <w:sz w:val="24"/>
          <w:szCs w:val="24"/>
        </w:rPr>
      </w:pP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 xml:space="preserve">Concept Note: </w:t>
      </w:r>
    </w:p>
    <w:p w:rsidR="00337D49" w:rsidRPr="00B45711" w:rsidRDefault="00337D49" w:rsidP="00337D49">
      <w:pPr>
        <w:shd w:val="clear" w:color="auto" w:fill="FFFFFF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The </w:t>
      </w:r>
      <w:proofErr w:type="spellStart"/>
      <w:r w:rsidRPr="00B45711">
        <w:rPr>
          <w:rStyle w:val="Emphasis"/>
          <w:rFonts w:ascii="Cambria Math" w:hAnsi="Cambria Math" w:cs="Arial"/>
          <w:bCs/>
          <w:color w:val="000000" w:themeColor="text1"/>
          <w:sz w:val="24"/>
          <w:szCs w:val="24"/>
          <w:shd w:val="clear" w:color="auto" w:fill="FFFFFF"/>
        </w:rPr>
        <w:t>Vigrahavyāvartanī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is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a Buddhist text attributed to the 2</w:t>
      </w:r>
      <w:r w:rsidRPr="00B45711">
        <w:rPr>
          <w:rFonts w:ascii="Cambria Math" w:hAnsi="Cambria Math"/>
          <w:color w:val="000000" w:themeColor="text1"/>
          <w:sz w:val="24"/>
          <w:szCs w:val="24"/>
          <w:vertAlign w:val="superscript"/>
        </w:rPr>
        <w:t>nd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century Indian Buddhist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philosopher</w:t>
      </w:r>
      <w:proofErr w:type="gramStart"/>
      <w:r w:rsidRPr="00B45711">
        <w:rPr>
          <w:rFonts w:ascii="Cambria Math" w:hAnsi="Cambria Math"/>
          <w:color w:val="000000" w:themeColor="text1"/>
          <w:sz w:val="24"/>
          <w:szCs w:val="24"/>
        </w:rPr>
        <w:t>,Nāgārjuna</w:t>
      </w:r>
      <w:proofErr w:type="spellEnd"/>
      <w:proofErr w:type="gram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. The subject of the text is the quelling of doubts and criticisms that come as a response to the thesis of </w:t>
      </w:r>
      <w:proofErr w:type="spellStart"/>
      <w:r w:rsidR="008A00CC"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ś</w:t>
      </w:r>
      <w:r w:rsidR="008A00CC" w:rsidRPr="00B45711">
        <w:rPr>
          <w:rFonts w:ascii="Cambria Math" w:hAnsi="Cambria Math"/>
          <w:color w:val="000000" w:themeColor="text1"/>
          <w:sz w:val="24"/>
          <w:szCs w:val="24"/>
        </w:rPr>
        <w:t>ūnyatā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, translated as doctrine of emptiness, nothingness, openness amongst others. Though there is a thematic unity between this text and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Nāgārjuna’s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magnum opus </w:t>
      </w:r>
      <w:proofErr w:type="spellStart"/>
      <w:r w:rsidRPr="00B45711">
        <w:rPr>
          <w:rFonts w:ascii="Cambria Math" w:hAnsi="Cambria Math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Mūlamadhyamakakārikā</w:t>
      </w:r>
      <w:proofErr w:type="spellEnd"/>
      <w:r w:rsidRPr="00B45711">
        <w:rPr>
          <w:rFonts w:ascii="Cambria Math" w:hAnsi="Cambria Math"/>
          <w:i/>
          <w:color w:val="000000" w:themeColor="text1"/>
          <w:sz w:val="24"/>
          <w:szCs w:val="24"/>
        </w:rPr>
        <w:t xml:space="preserve">, 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the scope, purpose and style are evidently different. In </w:t>
      </w:r>
      <w:proofErr w:type="spellStart"/>
      <w:r w:rsidRPr="00B45711">
        <w:rPr>
          <w:rFonts w:ascii="Cambria Math" w:hAnsi="Cambria Math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Mūlamadhyamakakārikā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the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purpose is mainly exposition of the thesis and its relation to other doctrinal and philosophical concerns of Buddhism, whereas in </w:t>
      </w:r>
      <w:proofErr w:type="spellStart"/>
      <w:r w:rsidRPr="00B45711">
        <w:rPr>
          <w:rStyle w:val="Emphasis"/>
          <w:rFonts w:ascii="Cambria Math" w:hAnsi="Cambria Math" w:cs="Arial"/>
          <w:bCs/>
          <w:color w:val="000000" w:themeColor="text1"/>
          <w:sz w:val="24"/>
          <w:szCs w:val="24"/>
          <w:shd w:val="clear" w:color="auto" w:fill="FFFFFF"/>
        </w:rPr>
        <w:t>Vigrahavyāvartanī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the style is dialogical, and the purpose a defense of the thesis in the light of criticisms. This difference, and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Nāgārjuna’s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treatment of topics related to epistemology and philosophy which he does not discuss much elsewhere afford a different set of scholarly interest in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favour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of </w:t>
      </w:r>
      <w:proofErr w:type="spellStart"/>
      <w:r w:rsidRPr="00B45711">
        <w:rPr>
          <w:rStyle w:val="Emphasis"/>
          <w:rFonts w:ascii="Cambria Math" w:hAnsi="Cambria Math" w:cs="Arial"/>
          <w:bCs/>
          <w:color w:val="000000" w:themeColor="text1"/>
          <w:sz w:val="24"/>
          <w:szCs w:val="24"/>
          <w:shd w:val="clear" w:color="auto" w:fill="FFFFFF"/>
        </w:rPr>
        <w:t>Vigrahavyāvartanī</w:t>
      </w:r>
      <w:proofErr w:type="spellEnd"/>
      <w:r w:rsidRPr="00B45711">
        <w:rPr>
          <w:rFonts w:ascii="Cambria Math" w:hAnsi="Cambria Math"/>
          <w:i/>
          <w:color w:val="000000" w:themeColor="text1"/>
          <w:sz w:val="24"/>
          <w:szCs w:val="24"/>
        </w:rPr>
        <w:t>.</w:t>
      </w:r>
    </w:p>
    <w:p w:rsidR="00337D49" w:rsidRPr="00B45711" w:rsidRDefault="00337D49" w:rsidP="00337D49">
      <w:pPr>
        <w:shd w:val="clear" w:color="auto" w:fill="FFFFFF"/>
        <w:rPr>
          <w:rFonts w:ascii="Cambria Math" w:eastAsia="Times New Roman" w:hAnsi="Cambria Math" w:cs="Times New Roman"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 xml:space="preserve">There are four important themes in </w:t>
      </w:r>
      <w:proofErr w:type="spellStart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Nāgārjuna’s</w:t>
      </w:r>
      <w:proofErr w:type="spellEnd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 </w:t>
      </w:r>
      <w:proofErr w:type="spellStart"/>
      <w:r w:rsidRPr="00B45711">
        <w:rPr>
          <w:rFonts w:ascii="Cambria Math" w:eastAsia="Times New Roman" w:hAnsi="Cambria Math" w:cs="Times New Roman"/>
          <w:i/>
          <w:iCs/>
          <w:color w:val="000000" w:themeColor="text1"/>
          <w:sz w:val="24"/>
          <w:szCs w:val="24"/>
        </w:rPr>
        <w:t>Vigrahavyāvartanī</w:t>
      </w:r>
      <w:proofErr w:type="spellEnd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: (1) All things are devoid of own-being (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svabhāvaśūnya</w:t>
      </w:r>
      <w:proofErr w:type="spellEnd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); (2) unqualified rejection of all the ‘accredited’ means of knowledge (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pramāṇa</w:t>
      </w:r>
      <w:proofErr w:type="spellEnd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); (3) it has no (philosophic) view/proposition (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pratijñā</w:t>
      </w:r>
      <w:proofErr w:type="spellEnd"/>
      <w:r w:rsidRPr="00B45711">
        <w:rPr>
          <w:rFonts w:ascii="Cambria Math" w:eastAsia="Times New Roman" w:hAnsi="Cambria Math" w:cs="Times New Roman"/>
          <w:color w:val="000000" w:themeColor="text1"/>
          <w:sz w:val="24"/>
          <w:szCs w:val="24"/>
        </w:rPr>
        <w:t>) of its own to advance or establish and yet (4) in the last verse it draws the paradoxical conclusion, “For whom emptiness prevails, all things prevail; nothing prevails for whom emptiness does not prevail.”</w:t>
      </w:r>
    </w:p>
    <w:p w:rsidR="00337D49" w:rsidRPr="00B45711" w:rsidRDefault="00337D49" w:rsidP="00337D49">
      <w:pPr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The theme of is 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ś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ūnyatā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, is one of the logical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explicationsof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the doctrine of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pratītyasamutpāda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, the seeing of which is identified with the seeing of dharma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itself.An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immediate reaction that the thesis suggests is the perennial philosophical concern regarding self-reflexivity. If the thesis says that everything is empty, then self-reflexively, 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lastRenderedPageBreak/>
        <w:t xml:space="preserve">the thesis is also empty. This raises problems regarding the ontological as well as the epistemological status of the central thesis of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.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embraces one horn of the dilemma, saying that the thesis is empty but not non-existent which the detractors try to deduce.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Nāgārjunaasserts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its existence clarifying that emptiness and existence are not different but presupposes one another. For, existence is causal efficacy; the existence and truth of 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ś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ūnyatā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liberates.</w:t>
      </w:r>
    </w:p>
    <w:p w:rsidR="00337D49" w:rsidRPr="00B45711" w:rsidRDefault="00337D49" w:rsidP="00337D49">
      <w:pPr>
        <w:rPr>
          <w:rFonts w:ascii="Cambria Math" w:hAnsi="Cambria Math"/>
          <w:i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Notwithstanding the clarifications of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Nāgārjuna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, questions still remain as to how we understand his,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atleast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apparent, paradoxical statements. To suggest that these statements are at “the limits of thought” engenders a further enigma as to why he engages in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discourseswhich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has acceptable structure and logic, which falls within the domains of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communicability.Further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questions as to the conditioning of </w:t>
      </w:r>
      <w:proofErr w:type="spellStart"/>
      <w:r w:rsidRPr="00B45711">
        <w:rPr>
          <w:rFonts w:ascii="Cambria Math" w:eastAsia="Times New Roman" w:hAnsi="Cambria Math" w:cs="Times New Roman"/>
          <w:iCs/>
          <w:color w:val="000000" w:themeColor="text1"/>
          <w:sz w:val="24"/>
          <w:szCs w:val="24"/>
        </w:rPr>
        <w:t>ś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ūnyatā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itself, its relation to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dukkha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and </w:t>
      </w:r>
      <w:proofErr w:type="spellStart"/>
      <w:r w:rsidRPr="00B45711">
        <w:rPr>
          <w:rStyle w:val="Emphasis"/>
          <w:rFonts w:ascii="Cambria Math" w:hAnsi="Cambria Math" w:cs="Arial"/>
          <w:bCs/>
          <w:color w:val="000000" w:themeColor="text1"/>
          <w:sz w:val="24"/>
          <w:szCs w:val="24"/>
          <w:shd w:val="clear" w:color="auto" w:fill="FFFFFF"/>
        </w:rPr>
        <w:t>nirvāṇa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offer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 revisits in this workshop on </w:t>
      </w:r>
      <w:proofErr w:type="spellStart"/>
      <w:r w:rsidRPr="00B45711">
        <w:rPr>
          <w:rStyle w:val="Emphasis"/>
          <w:rFonts w:ascii="Cambria Math" w:hAnsi="Cambria Math" w:cs="Arial"/>
          <w:bCs/>
          <w:color w:val="000000" w:themeColor="text1"/>
          <w:sz w:val="24"/>
          <w:szCs w:val="24"/>
          <w:shd w:val="clear" w:color="auto" w:fill="FFFFFF"/>
        </w:rPr>
        <w:t>Vigrahavyāvartanī</w:t>
      </w:r>
      <w:proofErr w:type="spellEnd"/>
      <w:r w:rsidRPr="00B45711">
        <w:rPr>
          <w:rFonts w:ascii="Cambria Math" w:hAnsi="Cambria Math"/>
          <w:i/>
          <w:color w:val="000000" w:themeColor="text1"/>
          <w:sz w:val="24"/>
          <w:szCs w:val="24"/>
        </w:rPr>
        <w:t>.</w:t>
      </w:r>
    </w:p>
    <w:p w:rsidR="00337D49" w:rsidRPr="00B45711" w:rsidRDefault="00337D49" w:rsidP="00337D49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>The following topics may guide the structure of the workshop.</w:t>
      </w:r>
    </w:p>
    <w:p w:rsidR="00337D49" w:rsidRPr="00B45711" w:rsidRDefault="00337D49" w:rsidP="00337D49">
      <w:pPr>
        <w:shd w:val="clear" w:color="auto" w:fill="FFFFFF"/>
        <w:spacing w:after="0"/>
        <w:ind w:firstLine="720"/>
        <w:rPr>
          <w:rFonts w:ascii="Cambria Math" w:eastAsia="Times New Roman" w:hAnsi="Cambria Math" w:cs="Arial"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Arial"/>
          <w:color w:val="000000" w:themeColor="text1"/>
          <w:sz w:val="24"/>
          <w:szCs w:val="24"/>
        </w:rPr>
        <w:t>(1) Emptiness</w:t>
      </w:r>
    </w:p>
    <w:p w:rsidR="00337D49" w:rsidRPr="00B45711" w:rsidRDefault="00337D49" w:rsidP="00337D49">
      <w:pPr>
        <w:shd w:val="clear" w:color="auto" w:fill="FFFFFF"/>
        <w:spacing w:after="0"/>
        <w:ind w:firstLine="720"/>
        <w:rPr>
          <w:rFonts w:ascii="Cambria Math" w:eastAsia="Times New Roman" w:hAnsi="Cambria Math" w:cs="Arial"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Arial"/>
          <w:color w:val="000000" w:themeColor="text1"/>
          <w:sz w:val="24"/>
          <w:szCs w:val="24"/>
        </w:rPr>
        <w:t>(2) Rejection of all means of knowledge and contradiction</w:t>
      </w:r>
      <w:bookmarkStart w:id="0" w:name="_GoBack"/>
      <w:bookmarkEnd w:id="0"/>
    </w:p>
    <w:p w:rsidR="00337D49" w:rsidRPr="00B45711" w:rsidRDefault="00337D49" w:rsidP="00337D49">
      <w:pPr>
        <w:shd w:val="clear" w:color="auto" w:fill="FFFFFF"/>
        <w:spacing w:after="0"/>
        <w:ind w:firstLine="720"/>
        <w:rPr>
          <w:rFonts w:ascii="Cambria Math" w:eastAsia="Times New Roman" w:hAnsi="Cambria Math" w:cs="Arial"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Arial"/>
          <w:color w:val="000000" w:themeColor="text1"/>
          <w:sz w:val="24"/>
          <w:szCs w:val="24"/>
        </w:rPr>
        <w:t>(3) Claim of no view/proposition</w:t>
      </w:r>
    </w:p>
    <w:p w:rsidR="00337D49" w:rsidRPr="00B45711" w:rsidRDefault="00337D49" w:rsidP="00337D49">
      <w:pPr>
        <w:shd w:val="clear" w:color="auto" w:fill="FFFFFF"/>
        <w:spacing w:after="0" w:line="240" w:lineRule="auto"/>
        <w:ind w:firstLine="720"/>
        <w:rPr>
          <w:rFonts w:ascii="Cambria Math" w:eastAsia="Times New Roman" w:hAnsi="Cambria Math" w:cs="Arial"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Arial"/>
          <w:color w:val="000000" w:themeColor="text1"/>
          <w:sz w:val="24"/>
          <w:szCs w:val="24"/>
        </w:rPr>
        <w:t xml:space="preserve">(4) Relation with </w:t>
      </w:r>
      <w:proofErr w:type="spellStart"/>
      <w:r w:rsidRPr="00B45711">
        <w:rPr>
          <w:rFonts w:ascii="Cambria Math" w:hAnsi="Cambria Math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Mūlamadhyamakakārikā</w:t>
      </w:r>
      <w:proofErr w:type="spellEnd"/>
    </w:p>
    <w:p w:rsidR="00337D49" w:rsidRPr="00B45711" w:rsidRDefault="00337D49" w:rsidP="00337D49">
      <w:pPr>
        <w:shd w:val="clear" w:color="auto" w:fill="FFFFFF"/>
        <w:spacing w:after="0" w:line="240" w:lineRule="auto"/>
        <w:ind w:firstLine="720"/>
        <w:rPr>
          <w:rFonts w:ascii="Cambria Math" w:eastAsia="Times New Roman" w:hAnsi="Cambria Math" w:cs="Arial"/>
          <w:i/>
          <w:iCs/>
          <w:color w:val="000000" w:themeColor="text1"/>
          <w:sz w:val="24"/>
          <w:szCs w:val="24"/>
        </w:rPr>
      </w:pPr>
      <w:r w:rsidRPr="00B45711">
        <w:rPr>
          <w:rFonts w:ascii="Cambria Math" w:eastAsia="Times New Roman" w:hAnsi="Cambria Math" w:cs="Arial"/>
          <w:color w:val="000000" w:themeColor="text1"/>
          <w:sz w:val="24"/>
          <w:szCs w:val="24"/>
        </w:rPr>
        <w:t>(5) Different interpretations of the </w:t>
      </w:r>
      <w:proofErr w:type="spellStart"/>
      <w:r w:rsidRPr="00B45711">
        <w:rPr>
          <w:rFonts w:ascii="Cambria Math" w:eastAsia="Times New Roman" w:hAnsi="Cambria Math" w:cs="Arial"/>
          <w:i/>
          <w:iCs/>
          <w:color w:val="000000" w:themeColor="text1"/>
          <w:sz w:val="24"/>
          <w:szCs w:val="24"/>
        </w:rPr>
        <w:t>Vigrahavyāvartanī</w:t>
      </w:r>
      <w:proofErr w:type="spellEnd"/>
    </w:p>
    <w:p w:rsidR="00B45711" w:rsidRPr="00B45711" w:rsidRDefault="00B45711" w:rsidP="00B4571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i/>
          <w:iCs/>
          <w:color w:val="000000" w:themeColor="text1"/>
          <w:sz w:val="24"/>
          <w:szCs w:val="24"/>
        </w:rPr>
      </w:pPr>
    </w:p>
    <w:p w:rsidR="00B45711" w:rsidRPr="00B45711" w:rsidRDefault="00B45711" w:rsidP="00B4571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i/>
          <w:iCs/>
          <w:color w:val="000000" w:themeColor="text1"/>
          <w:sz w:val="24"/>
          <w:szCs w:val="24"/>
        </w:rPr>
      </w:pPr>
    </w:p>
    <w:p w:rsidR="00B45711" w:rsidRPr="00B45711" w:rsidRDefault="00B45711" w:rsidP="00B4571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 w:themeColor="text1"/>
          <w:sz w:val="24"/>
          <w:szCs w:val="24"/>
        </w:rPr>
      </w:pPr>
    </w:p>
    <w:p w:rsidR="00B45711" w:rsidRPr="00B45711" w:rsidRDefault="00B45711" w:rsidP="00B45711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For communications please contact </w:t>
      </w:r>
    </w:p>
    <w:p w:rsidR="00B45711" w:rsidRPr="00B45711" w:rsidRDefault="00B45711" w:rsidP="00B45711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</w:p>
    <w:p w:rsidR="00B45711" w:rsidRPr="00B45711" w:rsidRDefault="00B45711" w:rsidP="00B45711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Dr. Basil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Pohlong</w:t>
      </w:r>
      <w:proofErr w:type="spellEnd"/>
    </w:p>
    <w:p w:rsidR="00B45711" w:rsidRPr="00B45711" w:rsidRDefault="00B45711" w:rsidP="00B45711">
      <w:pPr>
        <w:pStyle w:val="ListParagraph"/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>Mobile: 9436107048</w:t>
      </w:r>
    </w:p>
    <w:p w:rsidR="00B45711" w:rsidRDefault="00B45711" w:rsidP="00B45711">
      <w:pPr>
        <w:pStyle w:val="ListParagraph"/>
        <w:spacing w:after="0" w:line="240" w:lineRule="auto"/>
        <w:rPr>
          <w:color w:val="000000" w:themeColor="text1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Email: </w:t>
      </w:r>
      <w:hyperlink r:id="rId6" w:history="1">
        <w:r w:rsidRPr="00B45711">
          <w:rPr>
            <w:rStyle w:val="Hyperlink"/>
            <w:rFonts w:ascii="Cambria Math" w:hAnsi="Cambria Math"/>
            <w:color w:val="000000" w:themeColor="text1"/>
            <w:sz w:val="24"/>
            <w:szCs w:val="24"/>
          </w:rPr>
          <w:t>bpohlong@yahoo.com</w:t>
        </w:r>
      </w:hyperlink>
    </w:p>
    <w:p w:rsidR="00B45711" w:rsidRPr="00B45711" w:rsidRDefault="00B45711" w:rsidP="00B45711">
      <w:pPr>
        <w:pStyle w:val="ListParagraph"/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</w:p>
    <w:p w:rsidR="00B45711" w:rsidRPr="00B45711" w:rsidRDefault="00B45711" w:rsidP="00B45711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 xml:space="preserve">Dr. </w:t>
      </w:r>
      <w:proofErr w:type="spellStart"/>
      <w:r w:rsidRPr="00B45711">
        <w:rPr>
          <w:rFonts w:ascii="Cambria Math" w:hAnsi="Cambria Math"/>
          <w:color w:val="000000" w:themeColor="text1"/>
          <w:sz w:val="24"/>
          <w:szCs w:val="24"/>
        </w:rPr>
        <w:t>A</w:t>
      </w:r>
      <w:r w:rsidR="008877F1">
        <w:rPr>
          <w:rFonts w:ascii="Cambria Math" w:hAnsi="Cambria Math"/>
          <w:color w:val="000000" w:themeColor="text1"/>
          <w:sz w:val="24"/>
          <w:szCs w:val="24"/>
        </w:rPr>
        <w:t>ribam</w:t>
      </w:r>
      <w:r w:rsidRPr="00B45711">
        <w:rPr>
          <w:rFonts w:ascii="Cambria Math" w:hAnsi="Cambria Math"/>
          <w:color w:val="000000" w:themeColor="text1"/>
          <w:sz w:val="24"/>
          <w:szCs w:val="24"/>
        </w:rPr>
        <w:t>.U</w:t>
      </w:r>
      <w:proofErr w:type="spellEnd"/>
      <w:r w:rsidRPr="00B45711">
        <w:rPr>
          <w:rFonts w:ascii="Cambria Math" w:hAnsi="Cambria Math"/>
          <w:color w:val="000000" w:themeColor="text1"/>
          <w:sz w:val="24"/>
          <w:szCs w:val="24"/>
        </w:rPr>
        <w:t>. Sharma</w:t>
      </w:r>
    </w:p>
    <w:p w:rsidR="00B45711" w:rsidRPr="00B45711" w:rsidRDefault="00B45711" w:rsidP="00B45711">
      <w:pPr>
        <w:pStyle w:val="ListParagraph"/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>Mobile: 9402195549</w:t>
      </w:r>
    </w:p>
    <w:p w:rsidR="00B45711" w:rsidRPr="00B45711" w:rsidRDefault="00B45711" w:rsidP="00B45711">
      <w:pPr>
        <w:pStyle w:val="ListParagraph"/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B45711">
        <w:rPr>
          <w:rFonts w:ascii="Cambria Math" w:hAnsi="Cambria Math"/>
          <w:color w:val="000000" w:themeColor="text1"/>
          <w:sz w:val="24"/>
          <w:szCs w:val="24"/>
        </w:rPr>
        <w:t>Email: ausharma17@gmail.com</w:t>
      </w:r>
    </w:p>
    <w:p w:rsidR="00B45711" w:rsidRPr="00B45711" w:rsidRDefault="00B45711" w:rsidP="00B4571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EF001D" w:rsidRPr="00B45711" w:rsidRDefault="00EF001D">
      <w:pPr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</w:pPr>
    </w:p>
    <w:p w:rsidR="00EF001D" w:rsidRPr="00B45711" w:rsidRDefault="00EF001D">
      <w:pPr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</w:pPr>
      <w:r w:rsidRPr="00B45711">
        <w:rPr>
          <w:rFonts w:ascii="Cambria Math" w:hAnsi="Cambria Math" w:cs="Arial"/>
          <w:color w:val="000000" w:themeColor="text1"/>
          <w:sz w:val="24"/>
          <w:szCs w:val="24"/>
          <w:shd w:val="clear" w:color="auto" w:fill="FEFEFE"/>
        </w:rPr>
        <w:t>Note: TA will be paid as per ICPR guidelines.</w:t>
      </w:r>
    </w:p>
    <w:p w:rsidR="006F5A05" w:rsidRPr="00B45711" w:rsidRDefault="006F5A05">
      <w:pPr>
        <w:rPr>
          <w:rFonts w:ascii="Cambria Math" w:hAnsi="Cambria Math"/>
          <w:color w:val="000000" w:themeColor="text1"/>
          <w:sz w:val="24"/>
          <w:szCs w:val="24"/>
        </w:rPr>
      </w:pPr>
    </w:p>
    <w:sectPr w:rsidR="006F5A05" w:rsidRPr="00B45711" w:rsidSect="00E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3B"/>
    <w:multiLevelType w:val="hybridMultilevel"/>
    <w:tmpl w:val="B11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4D95"/>
    <w:rsid w:val="000447F1"/>
    <w:rsid w:val="000D69E8"/>
    <w:rsid w:val="001E61A3"/>
    <w:rsid w:val="00337D49"/>
    <w:rsid w:val="00345527"/>
    <w:rsid w:val="00385F32"/>
    <w:rsid w:val="00445E91"/>
    <w:rsid w:val="0059084C"/>
    <w:rsid w:val="00601D27"/>
    <w:rsid w:val="006F5A05"/>
    <w:rsid w:val="008877F1"/>
    <w:rsid w:val="008A00CC"/>
    <w:rsid w:val="008F7F7A"/>
    <w:rsid w:val="00B26C69"/>
    <w:rsid w:val="00B45711"/>
    <w:rsid w:val="00CA1280"/>
    <w:rsid w:val="00CE07A6"/>
    <w:rsid w:val="00D07FAB"/>
    <w:rsid w:val="00D44D95"/>
    <w:rsid w:val="00E53150"/>
    <w:rsid w:val="00E80480"/>
    <w:rsid w:val="00EF001D"/>
    <w:rsid w:val="00F138C6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A0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7D49"/>
    <w:rPr>
      <w:i/>
      <w:iCs/>
    </w:rPr>
  </w:style>
  <w:style w:type="paragraph" w:styleId="ListParagraph">
    <w:name w:val="List Paragraph"/>
    <w:basedOn w:val="Normal"/>
    <w:uiPriority w:val="34"/>
    <w:qFormat/>
    <w:rsid w:val="00B45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ohlong@yahoo.com" TargetMode="External"/><Relationship Id="rId5" Type="http://schemas.openxmlformats.org/officeDocument/2006/relationships/hyperlink" Target="mailto:ausharma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2</cp:revision>
  <dcterms:created xsi:type="dcterms:W3CDTF">2018-09-04T22:27:00Z</dcterms:created>
  <dcterms:modified xsi:type="dcterms:W3CDTF">2018-09-04T22:27:00Z</dcterms:modified>
</cp:coreProperties>
</file>